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42" w:rsidRDefault="00E00F9C" w:rsidP="00E00F9C">
      <w:pPr>
        <w:ind w:left="4956" w:firstLine="708"/>
      </w:pPr>
      <w:r>
        <w:t xml:space="preserve">               </w:t>
      </w:r>
      <w:r>
        <w:rPr>
          <w:noProof/>
        </w:rPr>
        <w:drawing>
          <wp:inline distT="0" distB="0" distL="0" distR="0">
            <wp:extent cx="1577340" cy="9073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gteheide groß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92" cy="93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9C" w:rsidRPr="00D10E00" w:rsidRDefault="00E00F9C" w:rsidP="00E00F9C">
      <w:pPr>
        <w:rPr>
          <w:sz w:val="22"/>
          <w:szCs w:val="22"/>
        </w:rPr>
      </w:pPr>
      <w:r w:rsidRPr="00D10E00">
        <w:rPr>
          <w:sz w:val="22"/>
          <w:szCs w:val="22"/>
        </w:rPr>
        <w:t>An den Hauptausschuss</w:t>
      </w:r>
      <w:r w:rsidRPr="00D10E00">
        <w:rPr>
          <w:sz w:val="22"/>
          <w:szCs w:val="22"/>
        </w:rPr>
        <w:br/>
        <w:t>zur Sitzung am 23. Februar 2023</w:t>
      </w:r>
    </w:p>
    <w:p w:rsidR="00E00F9C" w:rsidRDefault="00E00F9C" w:rsidP="00E00F9C"/>
    <w:p w:rsidR="00E00F9C" w:rsidRPr="00D10E00" w:rsidRDefault="00E00F9C" w:rsidP="00E00F9C">
      <w:pPr>
        <w:ind w:left="5664"/>
        <w:rPr>
          <w:sz w:val="22"/>
          <w:szCs w:val="22"/>
        </w:rPr>
      </w:pPr>
      <w:r w:rsidRPr="00D10E00">
        <w:rPr>
          <w:sz w:val="22"/>
          <w:szCs w:val="22"/>
        </w:rPr>
        <w:t xml:space="preserve">        Bargteheide, 22. Februar 2023</w:t>
      </w:r>
    </w:p>
    <w:p w:rsidR="00E00F9C" w:rsidRDefault="00E00F9C" w:rsidP="00E00F9C"/>
    <w:p w:rsidR="00E00F9C" w:rsidRDefault="00E00F9C" w:rsidP="00E00F9C"/>
    <w:p w:rsidR="00E00F9C" w:rsidRDefault="00E00F9C" w:rsidP="00E00F9C">
      <w:r w:rsidRPr="00E00F9C">
        <w:rPr>
          <w:b/>
          <w:sz w:val="28"/>
          <w:szCs w:val="28"/>
        </w:rPr>
        <w:t xml:space="preserve">Ergänzungsantrag zu TOP 6 </w:t>
      </w:r>
      <w:r w:rsidR="00D10E00">
        <w:rPr>
          <w:b/>
          <w:sz w:val="28"/>
          <w:szCs w:val="28"/>
        </w:rPr>
        <w:br/>
      </w:r>
      <w:r w:rsidRPr="00E00F9C">
        <w:rPr>
          <w:b/>
          <w:sz w:val="28"/>
          <w:szCs w:val="28"/>
        </w:rPr>
        <w:t xml:space="preserve">Architektenwettbewerb An den Stücken 49 </w:t>
      </w:r>
      <w:r w:rsidR="00D10E00">
        <w:rPr>
          <w:b/>
          <w:sz w:val="28"/>
          <w:szCs w:val="28"/>
        </w:rPr>
        <w:t>(</w:t>
      </w:r>
      <w:r w:rsidRPr="00E00F9C">
        <w:rPr>
          <w:b/>
          <w:sz w:val="28"/>
          <w:szCs w:val="28"/>
        </w:rPr>
        <w:t>VO/021/23</w:t>
      </w:r>
      <w:r w:rsidR="00D10E00">
        <w:rPr>
          <w:b/>
          <w:sz w:val="28"/>
          <w:szCs w:val="28"/>
        </w:rPr>
        <w:t>)</w:t>
      </w:r>
    </w:p>
    <w:p w:rsidR="00E00F9C" w:rsidRDefault="00E00F9C" w:rsidP="00E00F9C"/>
    <w:p w:rsidR="00E00F9C" w:rsidRDefault="00E00F9C" w:rsidP="00E00F9C"/>
    <w:p w:rsidR="00E00F9C" w:rsidRPr="00D10E00" w:rsidRDefault="00E00F9C" w:rsidP="00E00F9C">
      <w:pPr>
        <w:rPr>
          <w:sz w:val="22"/>
          <w:szCs w:val="22"/>
        </w:rPr>
      </w:pPr>
      <w:r w:rsidRPr="00D10E00">
        <w:rPr>
          <w:sz w:val="22"/>
          <w:szCs w:val="22"/>
        </w:rPr>
        <w:t xml:space="preserve">Die Ausschreibung für einen Architektenwettbewerb zum städtischen Grundstück An den Stücken 49 wird </w:t>
      </w:r>
      <w:r w:rsidR="00321F4A" w:rsidRPr="00D10E00">
        <w:rPr>
          <w:sz w:val="22"/>
          <w:szCs w:val="22"/>
        </w:rPr>
        <w:t xml:space="preserve">so lange </w:t>
      </w:r>
      <w:r w:rsidR="004679DA" w:rsidRPr="00D10E00">
        <w:rPr>
          <w:sz w:val="22"/>
          <w:szCs w:val="22"/>
        </w:rPr>
        <w:t xml:space="preserve">ausgesetzt, </w:t>
      </w:r>
      <w:r w:rsidRPr="00D10E00">
        <w:rPr>
          <w:sz w:val="22"/>
          <w:szCs w:val="22"/>
        </w:rPr>
        <w:t xml:space="preserve">bis grundlegende Untersuchungen abgeschlossen sind. Dabei handelt es sich unter anderen um die </w:t>
      </w:r>
      <w:r w:rsidR="00D10E00">
        <w:rPr>
          <w:sz w:val="22"/>
          <w:szCs w:val="22"/>
        </w:rPr>
        <w:t xml:space="preserve">bereits </w:t>
      </w:r>
      <w:r w:rsidRPr="00D10E00">
        <w:rPr>
          <w:sz w:val="22"/>
          <w:szCs w:val="22"/>
        </w:rPr>
        <w:t>von der Politik beschlossene</w:t>
      </w:r>
    </w:p>
    <w:p w:rsidR="00E00F9C" w:rsidRPr="00D10E00" w:rsidRDefault="00E00F9C" w:rsidP="00E00F9C">
      <w:pPr>
        <w:rPr>
          <w:sz w:val="22"/>
          <w:szCs w:val="22"/>
        </w:rPr>
      </w:pPr>
    </w:p>
    <w:p w:rsidR="00E00F9C" w:rsidRPr="00D10E00" w:rsidRDefault="00E00F9C" w:rsidP="00E00F9C">
      <w:pPr>
        <w:pStyle w:val="Listenabsatz"/>
        <w:numPr>
          <w:ilvl w:val="0"/>
          <w:numId w:val="1"/>
        </w:numPr>
        <w:rPr>
          <w:rFonts w:eastAsia="Times New Roman" w:cstheme="minorHAnsi"/>
          <w:b/>
          <w:sz w:val="22"/>
          <w:szCs w:val="22"/>
          <w:lang w:eastAsia="de-DE"/>
        </w:rPr>
      </w:pPr>
      <w:r w:rsidRPr="00D10E00">
        <w:rPr>
          <w:b/>
          <w:sz w:val="22"/>
          <w:szCs w:val="22"/>
        </w:rPr>
        <w:t xml:space="preserve">Bauzustandsanalyse </w:t>
      </w:r>
      <w:r w:rsidRPr="00D10E00">
        <w:rPr>
          <w:sz w:val="22"/>
          <w:szCs w:val="22"/>
        </w:rPr>
        <w:t xml:space="preserve">der alten Backsteinvilla </w:t>
      </w:r>
      <w:r w:rsidRPr="00D10E00">
        <w:rPr>
          <w:rFonts w:eastAsia="Times New Roman" w:cstheme="minorHAnsi"/>
          <w:sz w:val="22"/>
          <w:szCs w:val="22"/>
          <w:lang w:eastAsia="de-DE"/>
        </w:rPr>
        <w:t>Beschluss der Stadtvertretung vom 27.10.2022: „(...) Zur Klärung des Bauzustands der Villa wird zeitnah eine Bauzustandsanalyse</w:t>
      </w:r>
      <w:r w:rsidRPr="00D10E00">
        <w:rPr>
          <w:rFonts w:eastAsia="Times New Roman" w:cstheme="minorHAnsi"/>
          <w:b/>
          <w:sz w:val="22"/>
          <w:szCs w:val="22"/>
          <w:lang w:eastAsia="de-DE"/>
        </w:rPr>
        <w:t xml:space="preserve"> </w:t>
      </w:r>
      <w:r w:rsidRPr="00D10E00">
        <w:rPr>
          <w:rFonts w:eastAsia="Times New Roman" w:cstheme="minorHAnsi"/>
          <w:sz w:val="22"/>
          <w:szCs w:val="22"/>
          <w:lang w:eastAsia="de-DE"/>
        </w:rPr>
        <w:t xml:space="preserve">in Auftrag gegeben. Sie ist notwendig als Grundlage für weitere Beratungen über den Fortbestand der Villa. (...)“ </w:t>
      </w:r>
      <w:r w:rsidRPr="00D10E00">
        <w:rPr>
          <w:rFonts w:eastAsia="Times New Roman" w:cstheme="minorHAnsi"/>
          <w:b/>
          <w:sz w:val="22"/>
          <w:szCs w:val="22"/>
          <w:lang w:eastAsia="de-DE"/>
        </w:rPr>
        <w:t xml:space="preserve"> </w:t>
      </w:r>
      <w:r w:rsidRPr="00D10E00">
        <w:rPr>
          <w:rFonts w:eastAsia="Times New Roman" w:cstheme="minorHAnsi"/>
          <w:sz w:val="22"/>
          <w:szCs w:val="22"/>
          <w:lang w:eastAsia="de-DE"/>
        </w:rPr>
        <w:t xml:space="preserve">Übernommen aus AN/042/22. </w:t>
      </w:r>
      <w:r w:rsidRPr="00D10E00">
        <w:rPr>
          <w:rFonts w:eastAsia="Times New Roman" w:cstheme="minorHAnsi"/>
          <w:sz w:val="22"/>
          <w:szCs w:val="22"/>
          <w:lang w:eastAsia="de-DE"/>
        </w:rPr>
        <w:br/>
      </w:r>
    </w:p>
    <w:p w:rsidR="00E00F9C" w:rsidRPr="00D10E00" w:rsidRDefault="00E00F9C" w:rsidP="00E00F9C">
      <w:pPr>
        <w:pStyle w:val="Listenabsatz"/>
        <w:numPr>
          <w:ilvl w:val="0"/>
          <w:numId w:val="1"/>
        </w:numPr>
        <w:rPr>
          <w:rFonts w:eastAsia="Times New Roman" w:cstheme="minorHAnsi"/>
          <w:b/>
          <w:sz w:val="22"/>
          <w:szCs w:val="22"/>
          <w:lang w:eastAsia="de-DE"/>
        </w:rPr>
      </w:pPr>
      <w:r w:rsidRPr="00D10E00">
        <w:rPr>
          <w:rFonts w:eastAsia="Times New Roman" w:cstheme="minorHAnsi"/>
          <w:sz w:val="22"/>
          <w:szCs w:val="22"/>
          <w:lang w:eastAsia="de-DE"/>
        </w:rPr>
        <w:t xml:space="preserve">Erstellung eines sachlichen </w:t>
      </w:r>
      <w:r w:rsidRPr="00D10E00">
        <w:rPr>
          <w:rFonts w:eastAsia="Times New Roman" w:cstheme="minorHAnsi"/>
          <w:b/>
          <w:sz w:val="22"/>
          <w:szCs w:val="22"/>
          <w:lang w:eastAsia="de-DE"/>
        </w:rPr>
        <w:t>Teil</w:t>
      </w:r>
      <w:r w:rsidR="00D10E00">
        <w:rPr>
          <w:rFonts w:eastAsia="Times New Roman" w:cstheme="minorHAnsi"/>
          <w:b/>
          <w:sz w:val="22"/>
          <w:szCs w:val="22"/>
          <w:lang w:eastAsia="de-DE"/>
        </w:rPr>
        <w:t>l</w:t>
      </w:r>
      <w:r w:rsidRPr="00D10E00">
        <w:rPr>
          <w:rFonts w:eastAsia="Times New Roman" w:cstheme="minorHAnsi"/>
          <w:b/>
          <w:sz w:val="22"/>
          <w:szCs w:val="22"/>
          <w:lang w:eastAsia="de-DE"/>
        </w:rPr>
        <w:t>andschaftsplan für die Grünzüge</w:t>
      </w:r>
      <w:r w:rsidRPr="00D10E00">
        <w:rPr>
          <w:rFonts w:eastAsia="Times New Roman" w:cstheme="minorHAnsi"/>
          <w:sz w:val="22"/>
          <w:szCs w:val="22"/>
          <w:lang w:eastAsia="de-DE"/>
        </w:rPr>
        <w:t xml:space="preserve"> der Stadt. </w:t>
      </w:r>
      <w:r w:rsidRPr="00D10E00">
        <w:rPr>
          <w:rFonts w:ascii="Calibri" w:hAnsi="Calibri" w:cs="Calibri"/>
          <w:sz w:val="22"/>
          <w:szCs w:val="22"/>
        </w:rPr>
        <w:t xml:space="preserve">Einstimmiger Beschluss im Ausschuss </w:t>
      </w:r>
      <w:r w:rsidR="00202F01">
        <w:rPr>
          <w:rFonts w:ascii="Calibri" w:hAnsi="Calibri" w:cs="Calibri"/>
          <w:sz w:val="22"/>
          <w:szCs w:val="22"/>
        </w:rPr>
        <w:t xml:space="preserve">Klima, Umwelt, Energie </w:t>
      </w:r>
      <w:bookmarkStart w:id="0" w:name="_GoBack"/>
      <w:bookmarkEnd w:id="0"/>
      <w:r w:rsidRPr="00D10E00">
        <w:rPr>
          <w:rFonts w:ascii="Calibri" w:hAnsi="Calibri" w:cs="Calibri"/>
          <w:sz w:val="22"/>
          <w:szCs w:val="22"/>
        </w:rPr>
        <w:t>am 26.08.2020. „Es ist eine Bestandsaufnahme der naturnahen Bereiche, deren Vernetzung und deren Potenzial für die Weiterentwicklung durchführen zu lassen.</w:t>
      </w:r>
      <w:r w:rsidRPr="00D10E00">
        <w:rPr>
          <w:sz w:val="22"/>
          <w:szCs w:val="22"/>
        </w:rPr>
        <w:t xml:space="preserve"> </w:t>
      </w:r>
      <w:r w:rsidRPr="00D10E00">
        <w:rPr>
          <w:rFonts w:ascii="Calibri" w:hAnsi="Calibri" w:cs="Calibri"/>
          <w:sz w:val="22"/>
          <w:szCs w:val="22"/>
        </w:rPr>
        <w:t>Es soll ein sachlicher</w:t>
      </w:r>
      <w:bookmarkStart w:id="1" w:name="searchword"/>
      <w:bookmarkEnd w:id="1"/>
      <w:r w:rsidRPr="00D10E00">
        <w:rPr>
          <w:rFonts w:ascii="Calibri" w:hAnsi="Calibri" w:cs="Calibri"/>
          <w:sz w:val="22"/>
          <w:szCs w:val="22"/>
        </w:rPr>
        <w:t xml:space="preserve"> Teillandschaftsplan erstellt werden.</w:t>
      </w:r>
      <w:r w:rsidRPr="00D10E00">
        <w:rPr>
          <w:sz w:val="22"/>
          <w:szCs w:val="22"/>
        </w:rPr>
        <w:t xml:space="preserve"> </w:t>
      </w:r>
      <w:r w:rsidRPr="00D10E00">
        <w:rPr>
          <w:rFonts w:ascii="Calibri" w:hAnsi="Calibri" w:cs="Calibri"/>
          <w:sz w:val="22"/>
          <w:szCs w:val="22"/>
        </w:rPr>
        <w:t>Dafür ist im Haushalt 2021 eine Summe von 50.000 € einzuplanen.“</w:t>
      </w:r>
      <w:r w:rsidRPr="00D10E00">
        <w:rPr>
          <w:sz w:val="22"/>
          <w:szCs w:val="22"/>
        </w:rPr>
        <w:t xml:space="preserve"> </w:t>
      </w:r>
      <w:r w:rsidRPr="00D10E00">
        <w:rPr>
          <w:rFonts w:cstheme="minorHAnsi"/>
          <w:sz w:val="22"/>
          <w:szCs w:val="22"/>
        </w:rPr>
        <w:t xml:space="preserve">Änderungsantrag der Grünen AN/033/20-1 vom 15. August 2020. </w:t>
      </w:r>
      <w:r w:rsidRPr="00D10E00">
        <w:rPr>
          <w:rFonts w:cstheme="minorHAnsi"/>
          <w:sz w:val="22"/>
          <w:szCs w:val="22"/>
        </w:rPr>
        <w:br/>
      </w:r>
    </w:p>
    <w:p w:rsidR="00E00F9C" w:rsidRPr="00D10E00" w:rsidRDefault="00E00F9C" w:rsidP="00E00F9C">
      <w:pPr>
        <w:pStyle w:val="Listenabsatz"/>
        <w:numPr>
          <w:ilvl w:val="0"/>
          <w:numId w:val="1"/>
        </w:numPr>
        <w:rPr>
          <w:rFonts w:eastAsia="Times New Roman" w:cstheme="minorHAnsi"/>
          <w:b/>
          <w:sz w:val="22"/>
          <w:szCs w:val="22"/>
          <w:lang w:eastAsia="de-DE"/>
        </w:rPr>
      </w:pPr>
      <w:r w:rsidRPr="00D10E00">
        <w:rPr>
          <w:rFonts w:cstheme="minorHAnsi"/>
          <w:sz w:val="22"/>
          <w:szCs w:val="22"/>
        </w:rPr>
        <w:t xml:space="preserve">Im Rahmen der </w:t>
      </w:r>
      <w:r w:rsidRPr="00D10E00">
        <w:rPr>
          <w:rFonts w:cstheme="minorHAnsi"/>
          <w:b/>
          <w:sz w:val="22"/>
          <w:szCs w:val="22"/>
        </w:rPr>
        <w:t>Städtebauförderung</w:t>
      </w:r>
      <w:r w:rsidRPr="00D10E00">
        <w:rPr>
          <w:rFonts w:cstheme="minorHAnsi"/>
          <w:sz w:val="22"/>
          <w:szCs w:val="22"/>
        </w:rPr>
        <w:t xml:space="preserve"> gibt es nach zwei Bürgerdialogen und mehreren Sitzungen der Lenkungsgruppe Leitideen und Maßnahmen-Vorschläge </w:t>
      </w:r>
      <w:r w:rsidR="00321F4A" w:rsidRPr="00D10E00">
        <w:rPr>
          <w:rFonts w:cstheme="minorHAnsi"/>
          <w:sz w:val="22"/>
          <w:szCs w:val="22"/>
        </w:rPr>
        <w:t xml:space="preserve">auch </w:t>
      </w:r>
      <w:r w:rsidRPr="00D10E00">
        <w:rPr>
          <w:rFonts w:cstheme="minorHAnsi"/>
          <w:sz w:val="22"/>
          <w:szCs w:val="22"/>
        </w:rPr>
        <w:t xml:space="preserve">für das Grundstück An den Stücken 49. „Aufwertung öffentlicher Raum. Stadt- und Freiräume. Vorhandene und </w:t>
      </w:r>
      <w:proofErr w:type="spellStart"/>
      <w:r w:rsidRPr="00D10E00">
        <w:rPr>
          <w:rFonts w:cstheme="minorHAnsi"/>
          <w:sz w:val="22"/>
          <w:szCs w:val="22"/>
        </w:rPr>
        <w:t>zukünftige</w:t>
      </w:r>
      <w:proofErr w:type="spellEnd"/>
      <w:r w:rsidRPr="00D10E00">
        <w:rPr>
          <w:rFonts w:cstheme="minorHAnsi"/>
          <w:sz w:val="22"/>
          <w:szCs w:val="22"/>
        </w:rPr>
        <w:t xml:space="preserve"> </w:t>
      </w:r>
      <w:proofErr w:type="spellStart"/>
      <w:r w:rsidRPr="00D10E00">
        <w:rPr>
          <w:rFonts w:cstheme="minorHAnsi"/>
          <w:sz w:val="22"/>
          <w:szCs w:val="22"/>
        </w:rPr>
        <w:t>Grünflächen</w:t>
      </w:r>
      <w:proofErr w:type="spellEnd"/>
      <w:r w:rsidRPr="00D10E00">
        <w:rPr>
          <w:rFonts w:cstheme="minorHAnsi"/>
          <w:sz w:val="22"/>
          <w:szCs w:val="22"/>
        </w:rPr>
        <w:t xml:space="preserve"> dienen dem Schutz und der Erholung von Mensch, Flora und Fauna.“ </w:t>
      </w:r>
    </w:p>
    <w:p w:rsidR="00321F4A" w:rsidRPr="00D10E00" w:rsidRDefault="00321F4A" w:rsidP="00321F4A">
      <w:pPr>
        <w:rPr>
          <w:rFonts w:eastAsia="Times New Roman" w:cstheme="minorHAnsi"/>
          <w:b/>
          <w:sz w:val="22"/>
          <w:szCs w:val="22"/>
          <w:lang w:eastAsia="de-DE"/>
        </w:rPr>
      </w:pPr>
    </w:p>
    <w:p w:rsidR="00321F4A" w:rsidRPr="00D10E00" w:rsidRDefault="00321F4A" w:rsidP="00321F4A">
      <w:pPr>
        <w:rPr>
          <w:rFonts w:eastAsia="Times New Roman" w:cstheme="minorHAnsi"/>
          <w:b/>
          <w:sz w:val="22"/>
          <w:szCs w:val="22"/>
          <w:lang w:eastAsia="de-DE"/>
        </w:rPr>
      </w:pPr>
    </w:p>
    <w:p w:rsidR="00321F4A" w:rsidRPr="00D10E00" w:rsidRDefault="00321F4A" w:rsidP="00321F4A">
      <w:pPr>
        <w:rPr>
          <w:rFonts w:eastAsia="Times New Roman" w:cstheme="minorHAnsi"/>
          <w:b/>
          <w:sz w:val="22"/>
          <w:szCs w:val="22"/>
          <w:lang w:eastAsia="de-DE"/>
        </w:rPr>
      </w:pPr>
      <w:r w:rsidRPr="00D10E00">
        <w:rPr>
          <w:rFonts w:eastAsia="Times New Roman" w:cstheme="minorHAnsi"/>
          <w:b/>
          <w:sz w:val="22"/>
          <w:szCs w:val="22"/>
          <w:lang w:eastAsia="de-DE"/>
        </w:rPr>
        <w:t>Begründung:</w:t>
      </w:r>
    </w:p>
    <w:p w:rsidR="00AB5BF1" w:rsidRDefault="00321F4A" w:rsidP="00321F4A">
      <w:pPr>
        <w:rPr>
          <w:rFonts w:eastAsia="Times New Roman" w:cstheme="minorHAnsi"/>
          <w:sz w:val="22"/>
          <w:szCs w:val="22"/>
          <w:lang w:eastAsia="de-DE"/>
        </w:rPr>
      </w:pPr>
      <w:r w:rsidRPr="00D10E00">
        <w:rPr>
          <w:rFonts w:eastAsia="Times New Roman" w:cstheme="minorHAnsi"/>
          <w:sz w:val="22"/>
          <w:szCs w:val="22"/>
          <w:lang w:eastAsia="de-DE"/>
        </w:rPr>
        <w:t xml:space="preserve">Es kann nicht der zweite Schritt vor dem ersten gemacht werden. Die noch ausstehenden Ergebnisse der politisch beschlossenen Untersuchungen 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 xml:space="preserve">können </w:t>
      </w:r>
      <w:r w:rsidR="00D10E00">
        <w:rPr>
          <w:rFonts w:eastAsia="Times New Roman" w:cstheme="minorHAnsi"/>
          <w:sz w:val="22"/>
          <w:szCs w:val="22"/>
          <w:lang w:eastAsia="de-DE"/>
        </w:rPr>
        <w:t xml:space="preserve">erhebliche </w:t>
      </w:r>
      <w:r w:rsidRPr="00D10E00">
        <w:rPr>
          <w:rFonts w:eastAsia="Times New Roman" w:cstheme="minorHAnsi"/>
          <w:sz w:val="22"/>
          <w:szCs w:val="22"/>
          <w:lang w:eastAsia="de-DE"/>
        </w:rPr>
        <w:t xml:space="preserve">Auswirkungen auf die weiteren Planungen und die 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 xml:space="preserve">Zielvorgaben für einen </w:t>
      </w:r>
      <w:r w:rsidRPr="00D10E00">
        <w:rPr>
          <w:rFonts w:eastAsia="Times New Roman" w:cstheme="minorHAnsi"/>
          <w:sz w:val="22"/>
          <w:szCs w:val="22"/>
          <w:lang w:eastAsia="de-DE"/>
        </w:rPr>
        <w:t>Architektenwettbewerb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 xml:space="preserve"> haben</w:t>
      </w:r>
      <w:r w:rsidRPr="00D10E00">
        <w:rPr>
          <w:rFonts w:eastAsia="Times New Roman" w:cstheme="minorHAnsi"/>
          <w:sz w:val="22"/>
          <w:szCs w:val="22"/>
          <w:lang w:eastAsia="de-DE"/>
        </w:rPr>
        <w:t xml:space="preserve">. 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 xml:space="preserve">Bislang beruhen viele Argumente </w:t>
      </w:r>
      <w:r w:rsidR="00D10E00">
        <w:rPr>
          <w:rFonts w:eastAsia="Times New Roman" w:cstheme="minorHAnsi"/>
          <w:sz w:val="22"/>
          <w:szCs w:val="22"/>
          <w:lang w:eastAsia="de-DE"/>
        </w:rPr>
        <w:t xml:space="preserve">mehr 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 xml:space="preserve">auf Annahmen als auf Fakten. Ein Beitrag zur Versachlichung </w:t>
      </w:r>
      <w:r w:rsidR="009044D2">
        <w:rPr>
          <w:rFonts w:eastAsia="Times New Roman" w:cstheme="minorHAnsi"/>
          <w:sz w:val="22"/>
          <w:szCs w:val="22"/>
          <w:lang w:eastAsia="de-DE"/>
        </w:rPr>
        <w:t xml:space="preserve">ist 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 xml:space="preserve">es, wenn </w:t>
      </w:r>
      <w:r w:rsidR="00D10E00">
        <w:rPr>
          <w:rFonts w:eastAsia="Times New Roman" w:cstheme="minorHAnsi"/>
          <w:sz w:val="22"/>
          <w:szCs w:val="22"/>
          <w:lang w:eastAsia="de-DE"/>
        </w:rPr>
        <w:t xml:space="preserve">erst 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 xml:space="preserve">auf der Grundlage belastbarer </w:t>
      </w:r>
      <w:r w:rsidR="00D10E00" w:rsidRPr="00D10E00">
        <w:rPr>
          <w:rFonts w:eastAsia="Times New Roman" w:cstheme="minorHAnsi"/>
          <w:sz w:val="22"/>
          <w:szCs w:val="22"/>
          <w:lang w:eastAsia="de-DE"/>
        </w:rPr>
        <w:t xml:space="preserve">Expertisen 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>weiter</w:t>
      </w:r>
      <w:r w:rsidR="00D10E00" w:rsidRPr="00D10E00">
        <w:rPr>
          <w:rFonts w:eastAsia="Times New Roman" w:cstheme="minorHAnsi"/>
          <w:sz w:val="22"/>
          <w:szCs w:val="22"/>
          <w:lang w:eastAsia="de-DE"/>
        </w:rPr>
        <w:t>e</w:t>
      </w:r>
      <w:r w:rsidR="00AB5BF1" w:rsidRPr="00D10E00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D10E00" w:rsidRPr="00D10E00">
        <w:rPr>
          <w:rFonts w:eastAsia="Times New Roman" w:cstheme="minorHAnsi"/>
          <w:sz w:val="22"/>
          <w:szCs w:val="22"/>
          <w:lang w:eastAsia="de-DE"/>
        </w:rPr>
        <w:t xml:space="preserve">Beschlüsse gefasst werden. </w:t>
      </w:r>
    </w:p>
    <w:p w:rsidR="004D769F" w:rsidRPr="00D10E00" w:rsidRDefault="004D769F" w:rsidP="00321F4A">
      <w:pPr>
        <w:rPr>
          <w:rFonts w:eastAsia="Times New Roman" w:cstheme="minorHAnsi"/>
          <w:sz w:val="22"/>
          <w:szCs w:val="22"/>
          <w:lang w:eastAsia="de-DE"/>
        </w:rPr>
      </w:pPr>
    </w:p>
    <w:p w:rsidR="00E00F9C" w:rsidRDefault="00AB5BF1" w:rsidP="00AB5BF1">
      <w:pPr>
        <w:rPr>
          <w:rFonts w:eastAsia="Times New Roman" w:cstheme="minorHAnsi"/>
          <w:sz w:val="22"/>
          <w:szCs w:val="22"/>
          <w:lang w:eastAsia="de-DE"/>
        </w:rPr>
      </w:pPr>
      <w:r w:rsidRPr="00D10E00">
        <w:rPr>
          <w:rFonts w:eastAsia="Times New Roman" w:cstheme="minorHAnsi"/>
          <w:sz w:val="22"/>
          <w:szCs w:val="22"/>
          <w:lang w:eastAsia="de-DE"/>
        </w:rPr>
        <w:t xml:space="preserve">Auch mit Rücksicht auf die Belastung der Verwaltung sollen die </w:t>
      </w:r>
      <w:r w:rsidR="00D10E00" w:rsidRPr="00D10E00">
        <w:rPr>
          <w:rFonts w:eastAsia="Times New Roman" w:cstheme="minorHAnsi"/>
          <w:sz w:val="22"/>
          <w:szCs w:val="22"/>
          <w:lang w:eastAsia="de-DE"/>
        </w:rPr>
        <w:t xml:space="preserve">oben genannten Untersuchungen zunächst </w:t>
      </w:r>
      <w:r w:rsidRPr="00D10E00">
        <w:rPr>
          <w:rFonts w:eastAsia="Times New Roman" w:cstheme="minorHAnsi"/>
          <w:sz w:val="22"/>
          <w:szCs w:val="22"/>
          <w:lang w:eastAsia="de-DE"/>
        </w:rPr>
        <w:t>abgearbeitet werden, bevor ein weiteres</w:t>
      </w:r>
      <w:r w:rsidR="00D10E00" w:rsidRPr="00D10E00">
        <w:rPr>
          <w:rFonts w:eastAsia="Times New Roman" w:cstheme="minorHAnsi"/>
          <w:sz w:val="22"/>
          <w:szCs w:val="22"/>
          <w:lang w:eastAsia="de-DE"/>
        </w:rPr>
        <w:t xml:space="preserve">, personalintensives </w:t>
      </w:r>
      <w:r w:rsidRPr="00D10E00">
        <w:rPr>
          <w:rFonts w:eastAsia="Times New Roman" w:cstheme="minorHAnsi"/>
          <w:sz w:val="22"/>
          <w:szCs w:val="22"/>
          <w:lang w:eastAsia="de-DE"/>
        </w:rPr>
        <w:t xml:space="preserve"> Projekt angeschoben wird. </w:t>
      </w:r>
    </w:p>
    <w:p w:rsidR="00D10E00" w:rsidRDefault="00D10E00" w:rsidP="00AB5BF1">
      <w:pPr>
        <w:rPr>
          <w:sz w:val="22"/>
          <w:szCs w:val="22"/>
        </w:rPr>
      </w:pPr>
    </w:p>
    <w:p w:rsidR="00D10E00" w:rsidRDefault="00D10E00" w:rsidP="00AB5BF1">
      <w:pPr>
        <w:rPr>
          <w:sz w:val="22"/>
          <w:szCs w:val="22"/>
        </w:rPr>
      </w:pPr>
      <w:r>
        <w:rPr>
          <w:sz w:val="22"/>
          <w:szCs w:val="22"/>
        </w:rPr>
        <w:t>Ruth Kastner</w:t>
      </w:r>
    </w:p>
    <w:p w:rsidR="00D10E00" w:rsidRPr="00D10E00" w:rsidRDefault="00D10E00" w:rsidP="00AB5BF1">
      <w:pPr>
        <w:rPr>
          <w:sz w:val="22"/>
          <w:szCs w:val="22"/>
        </w:rPr>
      </w:pPr>
      <w:r>
        <w:rPr>
          <w:sz w:val="22"/>
          <w:szCs w:val="22"/>
        </w:rPr>
        <w:t xml:space="preserve">Fraktion Bündnis 90/Die Grünen </w:t>
      </w:r>
    </w:p>
    <w:sectPr w:rsidR="00D10E00" w:rsidRPr="00D10E00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F7709"/>
    <w:multiLevelType w:val="hybridMultilevel"/>
    <w:tmpl w:val="C0F03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9C"/>
    <w:rsid w:val="000A0045"/>
    <w:rsid w:val="00202F01"/>
    <w:rsid w:val="00321F4A"/>
    <w:rsid w:val="004679DA"/>
    <w:rsid w:val="004B01E0"/>
    <w:rsid w:val="004D769F"/>
    <w:rsid w:val="009044D2"/>
    <w:rsid w:val="00AB5BF1"/>
    <w:rsid w:val="00D10E00"/>
    <w:rsid w:val="00E00F9C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B3E03"/>
  <w15:chartTrackingRefBased/>
  <w15:docId w15:val="{B1E3F828-687B-404E-99BA-641064F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00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E0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2023-02-22T07:48:00Z</cp:lastPrinted>
  <dcterms:created xsi:type="dcterms:W3CDTF">2023-02-22T07:11:00Z</dcterms:created>
  <dcterms:modified xsi:type="dcterms:W3CDTF">2023-02-22T10:07:00Z</dcterms:modified>
</cp:coreProperties>
</file>